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1CB" w:rsidRDefault="00CE31C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38F2D9E" wp14:editId="66D5E56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1105" cy="10680011"/>
            <wp:effectExtent l="0" t="0" r="0" b="762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8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564" w:rsidRDefault="00CE31C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A5F511E" wp14:editId="65B7CF2D">
            <wp:simplePos x="0" y="0"/>
            <wp:positionH relativeFrom="page">
              <wp:posOffset>-90805</wp:posOffset>
            </wp:positionH>
            <wp:positionV relativeFrom="page">
              <wp:posOffset>42545</wp:posOffset>
            </wp:positionV>
            <wp:extent cx="7571233" cy="10680192"/>
            <wp:effectExtent l="0" t="0" r="0" b="6985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45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1CB"/>
    <w:rsid w:val="00B24564"/>
    <w:rsid w:val="00CE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DA6F4A-8896-46A1-B1AA-30942F87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T.C. Gümrük ve Ticaret Bakanlığı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Ayça Acet</dc:creator>
  <cp:keywords/>
  <dc:description/>
  <cp:lastModifiedBy>Ayça Acet</cp:lastModifiedBy>
  <cp:revision>1</cp:revision>
  <dcterms:created xsi:type="dcterms:W3CDTF">2017-06-08T07:35:00Z</dcterms:created>
  <dcterms:modified xsi:type="dcterms:W3CDTF">2017-06-08T07:37:00Z</dcterms:modified>
</cp:coreProperties>
</file>